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cs="Times New Roman"/>
          <w:sz w:val="28"/>
          <w:szCs w:val="28"/>
        </w:rPr>
      </w:pPr>
      <w:r>
        <w:rPr>
          <w:rFonts w:ascii="Times New Roman" w:hAnsi="Times New Roman" w:eastAsia="方正小标宋简体" w:cs="Times New Roman"/>
          <w:sz w:val="28"/>
          <w:szCs w:val="28"/>
        </w:rPr>
        <w:t>北京语言大学科学研究专门委员会2018年第一次全体委员会议决议</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2018年1月2日9:00—</w:t>
      </w:r>
      <w:r>
        <w:rPr>
          <w:rFonts w:hint="eastAsia" w:ascii="Times New Roman" w:hAnsi="Times New Roman" w:cs="Times New Roman"/>
          <w:sz w:val="24"/>
        </w:rPr>
        <w:t>14:00</w:t>
      </w:r>
      <w:r>
        <w:rPr>
          <w:rFonts w:ascii="Times New Roman" w:hAnsi="Times New Roman" w:cs="Times New Roman"/>
          <w:sz w:val="24"/>
        </w:rPr>
        <w:t>，北京语言大学科学研究专门委员会2018年第一次全体委员会议在新综合楼1006会议室举行。会议由专门委员会主任宁一中教授主持。会议的议题是</w:t>
      </w:r>
      <w:r>
        <w:rPr>
          <w:rFonts w:hint="eastAsia" w:ascii="Times New Roman" w:hAnsi="Times New Roman" w:cs="Times New Roman"/>
          <w:sz w:val="24"/>
        </w:rPr>
        <w:t>：</w:t>
      </w:r>
      <w:r>
        <w:rPr>
          <w:rFonts w:ascii="Times New Roman" w:hAnsi="Times New Roman" w:cs="Times New Roman"/>
          <w:sz w:val="24"/>
        </w:rPr>
        <w:t>一、审议2017年项目认定中存在的问题；二、审议2017年成果认定中存在的问题</w:t>
      </w:r>
      <w:r>
        <w:rPr>
          <w:rFonts w:hint="eastAsia" w:ascii="Times New Roman" w:hAnsi="Times New Roman" w:cs="Times New Roman"/>
          <w:sz w:val="24"/>
        </w:rPr>
        <w:t>；三、学术会议绩效核算事宜。</w:t>
      </w:r>
      <w:r>
        <w:rPr>
          <w:rFonts w:ascii="Times New Roman" w:hAnsi="Times New Roman" w:cs="Times New Roman"/>
          <w:sz w:val="24"/>
        </w:rPr>
        <w:t>北京语言大学科学研究专门委员会共有委员11名，到会9名，与会委员数量超过总人数的三分之二，会议决议有效。</w:t>
      </w:r>
    </w:p>
    <w:p>
      <w:pPr>
        <w:spacing w:line="360" w:lineRule="auto"/>
        <w:ind w:firstLine="480" w:firstLineChars="200"/>
        <w:rPr>
          <w:rFonts w:ascii="Times New Roman" w:hAnsi="Times New Roman" w:cs="Times New Roman"/>
          <w:sz w:val="24"/>
        </w:rPr>
      </w:pPr>
    </w:p>
    <w:p>
      <w:pPr>
        <w:spacing w:line="360" w:lineRule="auto"/>
        <w:ind w:firstLine="480" w:firstLineChars="200"/>
        <w:rPr>
          <w:rFonts w:ascii="Times New Roman" w:hAnsi="Times New Roman" w:cs="Times New Roman"/>
          <w:sz w:val="24"/>
        </w:rPr>
      </w:pPr>
      <w:r>
        <w:rPr>
          <w:rFonts w:ascii="Times New Roman" w:hAnsi="Times New Roman" w:cs="Times New Roman"/>
          <w:sz w:val="24"/>
        </w:rPr>
        <w:t>一、关于议题</w:t>
      </w:r>
      <w:r>
        <w:rPr>
          <w:rFonts w:hint="eastAsia" w:ascii="Times New Roman" w:hAnsi="Times New Roman" w:cs="Times New Roman"/>
          <w:sz w:val="24"/>
        </w:rPr>
        <w:t>“</w:t>
      </w:r>
      <w:r>
        <w:rPr>
          <w:rFonts w:ascii="Times New Roman" w:hAnsi="Times New Roman" w:cs="Times New Roman"/>
          <w:sz w:val="24"/>
        </w:rPr>
        <w:t>审议2017年项目认定中存在的问题</w:t>
      </w:r>
      <w:r>
        <w:rPr>
          <w:rFonts w:hint="eastAsia" w:ascii="Times New Roman" w:hAnsi="Times New Roman" w:cs="Times New Roman"/>
          <w:sz w:val="24"/>
        </w:rPr>
        <w:t>”</w:t>
      </w:r>
      <w:r>
        <w:rPr>
          <w:rFonts w:ascii="Times New Roman" w:hAnsi="Times New Roman" w:cs="Times New Roman"/>
          <w:sz w:val="24"/>
        </w:rPr>
        <w:t>的</w:t>
      </w:r>
      <w:r>
        <w:rPr>
          <w:rFonts w:hint="eastAsia" w:ascii="Times New Roman" w:hAnsi="Times New Roman" w:cs="Times New Roman"/>
          <w:sz w:val="24"/>
        </w:rPr>
        <w:t>决议</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lang w:val="en-US" w:eastAsia="zh-CN"/>
        </w:rPr>
        <w:t>1</w:t>
      </w:r>
      <w:r>
        <w:rPr>
          <w:rFonts w:hint="eastAsia" w:ascii="Times New Roman" w:hAnsi="Times New Roman" w:cs="Times New Roman"/>
          <w:sz w:val="24"/>
        </w:rPr>
        <w:t xml:space="preserve">. </w:t>
      </w:r>
      <w:r>
        <w:rPr>
          <w:rFonts w:ascii="Times New Roman" w:hAnsi="Times New Roman" w:cs="Times New Roman"/>
          <w:sz w:val="24"/>
        </w:rPr>
        <w:t>教育部国别与区域研究2016-2017年度指向性课题认定为省部级项目（详见下表）</w:t>
      </w:r>
      <w:r>
        <w:rPr>
          <w:rFonts w:hint="eastAsia" w:ascii="Times New Roman" w:hAnsi="Times New Roman" w:cs="Times New Roman"/>
          <w:sz w:val="24"/>
        </w:rPr>
        <w:t>；</w:t>
      </w:r>
    </w:p>
    <w:tbl>
      <w:tblPr>
        <w:tblStyle w:val="8"/>
        <w:tblW w:w="8187" w:type="dxa"/>
        <w:tblInd w:w="527" w:type="dxa"/>
        <w:tblLayout w:type="fixed"/>
        <w:tblCellMar>
          <w:top w:w="15" w:type="dxa"/>
          <w:left w:w="15" w:type="dxa"/>
          <w:bottom w:w="15" w:type="dxa"/>
          <w:right w:w="15" w:type="dxa"/>
        </w:tblCellMar>
      </w:tblPr>
      <w:tblGrid>
        <w:gridCol w:w="774"/>
        <w:gridCol w:w="5138"/>
        <w:gridCol w:w="1179"/>
        <w:gridCol w:w="1096"/>
      </w:tblGrid>
      <w:tr>
        <w:tblPrEx>
          <w:tblLayout w:type="fixed"/>
          <w:tblCellMar>
            <w:top w:w="15" w:type="dxa"/>
            <w:left w:w="15" w:type="dxa"/>
            <w:bottom w:w="15" w:type="dxa"/>
            <w:right w:w="15" w:type="dxa"/>
          </w:tblCellMar>
        </w:tblPrEx>
        <w:trPr>
          <w:trHeight w:val="429"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序号</w:t>
            </w:r>
          </w:p>
        </w:tc>
        <w:tc>
          <w:tcPr>
            <w:tcW w:w="5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报告题目</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负责人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经费（万元）</w:t>
            </w:r>
          </w:p>
        </w:tc>
      </w:tr>
      <w:tr>
        <w:tblPrEx>
          <w:tblLayout w:type="fixed"/>
          <w:tblCellMar>
            <w:top w:w="15" w:type="dxa"/>
            <w:left w:w="15" w:type="dxa"/>
            <w:bottom w:w="15" w:type="dxa"/>
            <w:right w:w="15" w:type="dxa"/>
          </w:tblCellMar>
        </w:tblPrEx>
        <w:trPr>
          <w:trHeight w:val="429"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Cs w:val="21"/>
              </w:rPr>
            </w:pPr>
            <w:r>
              <w:rPr>
                <w:rFonts w:ascii="Times New Roman" w:hAnsi="Times New Roman" w:eastAsia="宋体" w:cs="Times New Roman"/>
                <w:color w:val="000000"/>
                <w:kern w:val="0"/>
                <w:szCs w:val="21"/>
                <w:lang w:bidi="ar"/>
              </w:rPr>
              <w:t>1</w:t>
            </w:r>
          </w:p>
        </w:tc>
        <w:tc>
          <w:tcPr>
            <w:tcW w:w="5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Cs w:val="21"/>
              </w:rPr>
            </w:pPr>
            <w:r>
              <w:rPr>
                <w:rFonts w:ascii="Times New Roman" w:hAnsi="Times New Roman" w:cs="Times New Roman"/>
                <w:color w:val="000000"/>
                <w:szCs w:val="21"/>
              </w:rPr>
              <w:t>“伊斯兰国”与国际反恐形式研究</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汪颉珉</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szCs w:val="21"/>
              </w:rPr>
              <w:t>10</w:t>
            </w:r>
          </w:p>
        </w:tc>
      </w:tr>
      <w:tr>
        <w:tblPrEx>
          <w:tblLayout w:type="fixed"/>
          <w:tblCellMar>
            <w:top w:w="15" w:type="dxa"/>
            <w:left w:w="15" w:type="dxa"/>
            <w:bottom w:w="15" w:type="dxa"/>
            <w:right w:w="15" w:type="dxa"/>
          </w:tblCellMar>
        </w:tblPrEx>
        <w:trPr>
          <w:trHeight w:val="429"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Cs w:val="21"/>
              </w:rPr>
            </w:pPr>
            <w:r>
              <w:rPr>
                <w:rFonts w:ascii="Times New Roman" w:hAnsi="Times New Roman" w:eastAsia="宋体" w:cs="Times New Roman"/>
                <w:color w:val="000000"/>
                <w:kern w:val="0"/>
                <w:szCs w:val="21"/>
                <w:lang w:bidi="ar"/>
              </w:rPr>
              <w:t>2</w:t>
            </w:r>
          </w:p>
        </w:tc>
        <w:tc>
          <w:tcPr>
            <w:tcW w:w="5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Cs w:val="21"/>
              </w:rPr>
            </w:pPr>
            <w:r>
              <w:rPr>
                <w:rFonts w:ascii="Times New Roman" w:hAnsi="Times New Roman" w:cs="Times New Roman"/>
                <w:color w:val="000000"/>
                <w:szCs w:val="21"/>
              </w:rPr>
              <w:t>西方在中东的意识形态渗透及其影响</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陆映波</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szCs w:val="21"/>
              </w:rPr>
              <w:t>10</w:t>
            </w:r>
          </w:p>
        </w:tc>
      </w:tr>
      <w:tr>
        <w:tblPrEx>
          <w:tblLayout w:type="fixed"/>
          <w:tblCellMar>
            <w:top w:w="15" w:type="dxa"/>
            <w:left w:w="15" w:type="dxa"/>
            <w:bottom w:w="15" w:type="dxa"/>
            <w:right w:w="15" w:type="dxa"/>
          </w:tblCellMar>
        </w:tblPrEx>
        <w:trPr>
          <w:trHeight w:val="429"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Cs w:val="21"/>
              </w:rPr>
            </w:pPr>
            <w:r>
              <w:rPr>
                <w:rFonts w:ascii="Times New Roman" w:hAnsi="Times New Roman" w:eastAsia="宋体" w:cs="Times New Roman"/>
                <w:color w:val="000000"/>
                <w:kern w:val="0"/>
                <w:szCs w:val="21"/>
                <w:lang w:bidi="ar"/>
              </w:rPr>
              <w:t>3</w:t>
            </w:r>
          </w:p>
        </w:tc>
        <w:tc>
          <w:tcPr>
            <w:tcW w:w="5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Cs w:val="21"/>
              </w:rPr>
            </w:pPr>
            <w:r>
              <w:rPr>
                <w:rFonts w:ascii="Times New Roman" w:hAnsi="Times New Roman" w:cs="Times New Roman"/>
                <w:color w:val="000000"/>
                <w:szCs w:val="21"/>
              </w:rPr>
              <w:t>伊核全面协议达成后中东格局走向、伊朗与美西方关系发展及对中伊关系的影响</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贾烈英</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szCs w:val="21"/>
              </w:rPr>
              <w:t>10</w:t>
            </w:r>
          </w:p>
        </w:tc>
      </w:tr>
      <w:tr>
        <w:tblPrEx>
          <w:tblLayout w:type="fixed"/>
          <w:tblCellMar>
            <w:top w:w="15" w:type="dxa"/>
            <w:left w:w="15" w:type="dxa"/>
            <w:bottom w:w="15" w:type="dxa"/>
            <w:right w:w="15" w:type="dxa"/>
          </w:tblCellMar>
        </w:tblPrEx>
        <w:trPr>
          <w:trHeight w:val="429"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Cs w:val="21"/>
              </w:rPr>
            </w:pPr>
            <w:r>
              <w:rPr>
                <w:rFonts w:ascii="Times New Roman" w:hAnsi="Times New Roman" w:eastAsia="宋体" w:cs="Times New Roman"/>
                <w:color w:val="000000"/>
                <w:kern w:val="0"/>
                <w:szCs w:val="21"/>
                <w:lang w:bidi="ar"/>
              </w:rPr>
              <w:t>4</w:t>
            </w:r>
          </w:p>
        </w:tc>
        <w:tc>
          <w:tcPr>
            <w:tcW w:w="5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Cs w:val="21"/>
              </w:rPr>
            </w:pPr>
            <w:r>
              <w:rPr>
                <w:rFonts w:ascii="Times New Roman" w:hAnsi="Times New Roman" w:cs="Times New Roman"/>
                <w:color w:val="000000"/>
                <w:szCs w:val="21"/>
              </w:rPr>
              <w:t>沙特王位继承对</w:t>
            </w:r>
            <w:r>
              <w:rPr>
                <w:rFonts w:hint="eastAsia" w:ascii="Times New Roman" w:hAnsi="Times New Roman" w:cs="Times New Roman"/>
                <w:color w:val="000000"/>
                <w:szCs w:val="21"/>
              </w:rPr>
              <w:t>我</w:t>
            </w:r>
            <w:r>
              <w:rPr>
                <w:rFonts w:ascii="Times New Roman" w:hAnsi="Times New Roman" w:cs="Times New Roman"/>
                <w:color w:val="000000"/>
                <w:szCs w:val="21"/>
              </w:rPr>
              <w:t>政策走向</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周华</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szCs w:val="21"/>
              </w:rPr>
              <w:t>10</w:t>
            </w:r>
          </w:p>
        </w:tc>
      </w:tr>
      <w:tr>
        <w:tblPrEx>
          <w:tblLayout w:type="fixed"/>
          <w:tblCellMar>
            <w:top w:w="15" w:type="dxa"/>
            <w:left w:w="15" w:type="dxa"/>
            <w:bottom w:w="15" w:type="dxa"/>
            <w:right w:w="15" w:type="dxa"/>
          </w:tblCellMar>
        </w:tblPrEx>
        <w:trPr>
          <w:trHeight w:val="429"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5</w:t>
            </w:r>
          </w:p>
        </w:tc>
        <w:tc>
          <w:tcPr>
            <w:tcW w:w="5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Cs w:val="21"/>
              </w:rPr>
            </w:pPr>
            <w:r>
              <w:rPr>
                <w:rFonts w:ascii="Times New Roman" w:hAnsi="Times New Roman" w:cs="Times New Roman"/>
                <w:color w:val="000000"/>
                <w:szCs w:val="21"/>
              </w:rPr>
              <w:t>阿拉伯媒体及其舆情状况</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王光远</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szCs w:val="21"/>
              </w:rPr>
              <w:t>10</w:t>
            </w:r>
          </w:p>
        </w:tc>
      </w:tr>
      <w:tr>
        <w:tblPrEx>
          <w:tblLayout w:type="fixed"/>
          <w:tblCellMar>
            <w:top w:w="15" w:type="dxa"/>
            <w:left w:w="15" w:type="dxa"/>
            <w:bottom w:w="15" w:type="dxa"/>
            <w:right w:w="15" w:type="dxa"/>
          </w:tblCellMar>
        </w:tblPrEx>
        <w:trPr>
          <w:trHeight w:val="429"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6</w:t>
            </w:r>
          </w:p>
        </w:tc>
        <w:tc>
          <w:tcPr>
            <w:tcW w:w="5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Cs w:val="21"/>
              </w:rPr>
            </w:pPr>
            <w:r>
              <w:rPr>
                <w:rFonts w:ascii="Times New Roman" w:hAnsi="Times New Roman" w:cs="Times New Roman"/>
                <w:color w:val="000000"/>
                <w:szCs w:val="21"/>
              </w:rPr>
              <w:t>阿拉伯地区开展中阿人文交流的舆论环境研究</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罗林</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szCs w:val="21"/>
              </w:rPr>
              <w:t>10</w:t>
            </w:r>
          </w:p>
        </w:tc>
      </w:tr>
    </w:tbl>
    <w:p>
      <w:pPr>
        <w:spacing w:line="360" w:lineRule="auto"/>
        <w:ind w:firstLine="480"/>
        <w:rPr>
          <w:rFonts w:ascii="Times New Roman" w:hAnsi="Times New Roman" w:cs="Times New Roman"/>
          <w:sz w:val="24"/>
        </w:rPr>
      </w:pPr>
      <w:r>
        <w:rPr>
          <w:rFonts w:hint="eastAsia" w:ascii="Times New Roman" w:hAnsi="Times New Roman" w:cs="Times New Roman"/>
          <w:sz w:val="24"/>
          <w:lang w:val="en-US" w:eastAsia="zh-CN"/>
        </w:rPr>
        <w:t>2</w:t>
      </w:r>
      <w:r>
        <w:rPr>
          <w:rFonts w:hint="eastAsia" w:ascii="Times New Roman" w:hAnsi="Times New Roman" w:cs="Times New Roman"/>
          <w:sz w:val="24"/>
        </w:rPr>
        <w:t xml:space="preserve">. </w:t>
      </w:r>
      <w:r>
        <w:rPr>
          <w:rFonts w:ascii="Times New Roman" w:hAnsi="Times New Roman" w:cs="Times New Roman"/>
          <w:sz w:val="24"/>
        </w:rPr>
        <w:t>中国高等教育</w:t>
      </w:r>
      <w:r>
        <w:rPr>
          <w:rFonts w:hint="eastAsia" w:ascii="Times New Roman" w:hAnsi="Times New Roman" w:cs="Times New Roman"/>
          <w:sz w:val="24"/>
        </w:rPr>
        <w:t>学</w:t>
      </w:r>
      <w:r>
        <w:rPr>
          <w:rFonts w:ascii="Times New Roman" w:hAnsi="Times New Roman" w:cs="Times New Roman"/>
          <w:sz w:val="24"/>
        </w:rPr>
        <w:t>会2016年度教育信息化专项课题认定为横向项目</w:t>
      </w:r>
      <w:r>
        <w:rPr>
          <w:rFonts w:hint="eastAsia" w:ascii="Times New Roman" w:hAnsi="Times New Roman" w:cs="Times New Roman"/>
          <w:sz w:val="24"/>
        </w:rPr>
        <w:t>；</w:t>
      </w:r>
    </w:p>
    <w:tbl>
      <w:tblPr>
        <w:tblStyle w:val="8"/>
        <w:tblW w:w="8161" w:type="dxa"/>
        <w:tblInd w:w="527" w:type="dxa"/>
        <w:tblLayout w:type="fixed"/>
        <w:tblCellMar>
          <w:top w:w="15" w:type="dxa"/>
          <w:left w:w="15" w:type="dxa"/>
          <w:bottom w:w="15" w:type="dxa"/>
          <w:right w:w="15" w:type="dxa"/>
        </w:tblCellMar>
      </w:tblPr>
      <w:tblGrid>
        <w:gridCol w:w="772"/>
        <w:gridCol w:w="5121"/>
        <w:gridCol w:w="1175"/>
        <w:gridCol w:w="1093"/>
      </w:tblGrid>
      <w:tr>
        <w:tblPrEx>
          <w:tblLayout w:type="fixed"/>
          <w:tblCellMar>
            <w:top w:w="15" w:type="dxa"/>
            <w:left w:w="15" w:type="dxa"/>
            <w:bottom w:w="15" w:type="dxa"/>
            <w:right w:w="15" w:type="dxa"/>
          </w:tblCellMar>
        </w:tblPrEx>
        <w:trPr>
          <w:trHeight w:val="342"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序号</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报告题目</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负责人</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经费（万元）</w:t>
            </w:r>
          </w:p>
        </w:tc>
      </w:tr>
      <w:tr>
        <w:tblPrEx>
          <w:tblLayout w:type="fixed"/>
          <w:tblCellMar>
            <w:top w:w="15" w:type="dxa"/>
            <w:left w:w="15" w:type="dxa"/>
            <w:bottom w:w="15" w:type="dxa"/>
            <w:right w:w="15" w:type="dxa"/>
          </w:tblCellMar>
        </w:tblPrEx>
        <w:trPr>
          <w:trHeight w:val="342"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Cs w:val="21"/>
              </w:rPr>
            </w:pPr>
            <w:r>
              <w:rPr>
                <w:rFonts w:ascii="Times New Roman" w:hAnsi="Times New Roman" w:eastAsia="宋体" w:cs="Times New Roman"/>
                <w:color w:val="000000"/>
                <w:kern w:val="0"/>
                <w:szCs w:val="21"/>
                <w:lang w:bidi="ar"/>
              </w:rPr>
              <w:t>1</w:t>
            </w:r>
          </w:p>
        </w:tc>
        <w:tc>
          <w:tcPr>
            <w:tcW w:w="51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color w:val="000000"/>
                <w:szCs w:val="21"/>
              </w:rPr>
            </w:pPr>
            <w:r>
              <w:rPr>
                <w:rFonts w:ascii="Times New Roman" w:hAnsi="Times New Roman" w:cs="Times New Roman"/>
                <w:color w:val="000000"/>
                <w:szCs w:val="21"/>
              </w:rPr>
              <w:t>高校信息化管理制度研究</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吴志山</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szCs w:val="21"/>
              </w:rPr>
              <w:t>2</w:t>
            </w:r>
          </w:p>
        </w:tc>
      </w:tr>
    </w:tbl>
    <w:p>
      <w:pPr>
        <w:spacing w:line="360" w:lineRule="auto"/>
        <w:ind w:firstLine="480" w:firstLineChars="200"/>
        <w:rPr>
          <w:rFonts w:ascii="Times New Roman" w:hAnsi="Times New Roman" w:cs="Times New Roman"/>
          <w:sz w:val="24"/>
        </w:rPr>
      </w:pPr>
    </w:p>
    <w:p>
      <w:pPr>
        <w:spacing w:line="360" w:lineRule="auto"/>
        <w:ind w:firstLine="480" w:firstLineChars="200"/>
        <w:rPr>
          <w:rFonts w:ascii="Times New Roman" w:hAnsi="Times New Roman" w:cs="Times New Roman"/>
          <w:sz w:val="24"/>
        </w:rPr>
      </w:pPr>
      <w:r>
        <w:rPr>
          <w:rFonts w:ascii="Times New Roman" w:hAnsi="Times New Roman" w:cs="Times New Roman"/>
          <w:sz w:val="24"/>
        </w:rPr>
        <w:t>二、关于议题</w:t>
      </w:r>
      <w:r>
        <w:rPr>
          <w:rFonts w:hint="eastAsia" w:ascii="Times New Roman" w:hAnsi="Times New Roman" w:cs="Times New Roman"/>
          <w:sz w:val="24"/>
        </w:rPr>
        <w:t>“</w:t>
      </w:r>
      <w:r>
        <w:rPr>
          <w:rFonts w:ascii="Times New Roman" w:hAnsi="Times New Roman" w:cs="Times New Roman"/>
          <w:sz w:val="24"/>
        </w:rPr>
        <w:t>审议2017年成果认定中存在的问题</w:t>
      </w:r>
      <w:r>
        <w:rPr>
          <w:rFonts w:hint="eastAsia" w:ascii="Times New Roman" w:hAnsi="Times New Roman" w:cs="Times New Roman"/>
          <w:sz w:val="24"/>
        </w:rPr>
        <w:t>”</w:t>
      </w:r>
      <w:r>
        <w:rPr>
          <w:rFonts w:ascii="Times New Roman" w:hAnsi="Times New Roman" w:cs="Times New Roman"/>
          <w:sz w:val="24"/>
        </w:rPr>
        <w:t>的</w:t>
      </w:r>
      <w:r>
        <w:rPr>
          <w:rFonts w:hint="eastAsia" w:ascii="Times New Roman" w:hAnsi="Times New Roman" w:cs="Times New Roman"/>
          <w:sz w:val="24"/>
        </w:rPr>
        <w:t>决议</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 xml:space="preserve">. </w:t>
      </w:r>
      <w:r>
        <w:rPr>
          <w:rFonts w:ascii="Times New Roman" w:hAnsi="Times New Roman" w:cs="Times New Roman"/>
          <w:sz w:val="24"/>
        </w:rPr>
        <w:t>认定咨询服务类报告的级别</w:t>
      </w:r>
    </w:p>
    <w:tbl>
      <w:tblPr>
        <w:tblW w:w="8180" w:type="dxa"/>
        <w:tblInd w:w="5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70"/>
        <w:gridCol w:w="5190"/>
        <w:gridCol w:w="1150"/>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5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报告题目</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第一作者</w:t>
            </w:r>
          </w:p>
        </w:tc>
        <w:tc>
          <w:tcPr>
            <w:tcW w:w="10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519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加强与南太平洋岛国合作正当其时</w:t>
            </w:r>
          </w:p>
        </w:tc>
        <w:tc>
          <w:tcPr>
            <w:tcW w:w="115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吴平</w:t>
            </w:r>
          </w:p>
        </w:tc>
        <w:tc>
          <w:tcPr>
            <w:tcW w:w="107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B类I级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亟需统筹语言规划增强澳门民众文化认同和国家认同</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吴平</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A类II级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2016年的机器翻译</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韩林涛</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****情况及我对策</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罗林</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A类I级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宪法修正案公投****及我应对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周华</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B类I级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关于新疆地区面向丝绸之路经济带语言资源建设的建议报告</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张黎</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B类I级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中国文化作品海外译介与传播需求调研</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徐宝锋</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B类I级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推动****更好地走出去</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徐宝锋</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A类I级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2016，流行语里的中国与世界</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杨尔弘</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2017年中国政府奖学金本科来华留学生预科结业汉语综合统一考试分析报告</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黄理兵</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2016年度全国****资格考试考试安全研究报告</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孔祥</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B类I级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2016年国家执业药师资格考试综合测评分析报告</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孔祥</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B类I级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福建省2015、2016年度考试录用公务员笔试《行政职业能力测验》试题分析研究报告</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孔祥</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B类I级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2017年中国政府奖学金本科来华留学生化学结业考试分析报告</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陆一萍</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2017年度国家公务员录用公共科目考试试题分析报告</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彭恒利</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2017年国家公务员录用考试行政职业能力测验作弊甄别报告</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彭恒利</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B类I级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公务员考试题库管理系统多层框架结构设计及实现</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彭恒利</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2017年高考英语等值研究</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任杰</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2017年中国政府奖学金本科来华留学生物理结业考试分析报告</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徐式婧</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2017年中国政府奖学金本科来华留学生数学结业考试分析报告</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赵琪凤</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国家通用语言文字普及与规范</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徐欣路</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警惕台当局利用“新南向”语言政策实施教育文化“台独”</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戴红亮</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B类I级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台湾少数民族语言政策新动向观察</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戴红亮</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B类I级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文化台独新拼图：蔡英文当局“新南向”语言政策值得警惕</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戴红亮</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B类I级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语言文字信息化建设</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饶高琦</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5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语言文字类微信公众号</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饶高琦</w:t>
            </w:r>
          </w:p>
        </w:tc>
        <w:tc>
          <w:tcPr>
            <w:tcW w:w="1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C类</w:t>
            </w:r>
          </w:p>
        </w:tc>
      </w:tr>
    </w:tbl>
    <w:p>
      <w:pPr>
        <w:spacing w:line="360" w:lineRule="auto"/>
        <w:ind w:firstLine="480" w:firstLineChars="200"/>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w:t>
      </w:r>
      <w:r>
        <w:rPr>
          <w:rFonts w:ascii="Times New Roman" w:hAnsi="Times New Roman" w:cs="Times New Roman"/>
          <w:sz w:val="24"/>
        </w:rPr>
        <w:t>著作级别认定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1）普通译著：1部1分（</w:t>
      </w:r>
      <w:r>
        <w:rPr>
          <w:rFonts w:hint="eastAsia" w:ascii="Times New Roman" w:hAnsi="Times New Roman" w:cs="Times New Roman"/>
          <w:sz w:val="24"/>
        </w:rPr>
        <w:t>此次会议新认定类别</w:t>
      </w:r>
      <w:r>
        <w:rPr>
          <w:rFonts w:ascii="Times New Roman" w:hAnsi="Times New Roman" w:cs="Times New Roman"/>
          <w:sz w:val="24"/>
        </w:rPr>
        <w:t>）</w:t>
      </w:r>
      <w:r>
        <w:rPr>
          <w:rFonts w:hint="eastAsia"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2）审校著作：1部0.5分（</w:t>
      </w:r>
      <w:r>
        <w:rPr>
          <w:rFonts w:hint="eastAsia" w:ascii="Times New Roman" w:hAnsi="Times New Roman" w:cs="Times New Roman"/>
          <w:sz w:val="24"/>
        </w:rPr>
        <w:t>此次会议新认定类别</w:t>
      </w:r>
      <w:r>
        <w:rPr>
          <w:rFonts w:ascii="Times New Roman" w:hAnsi="Times New Roman" w:cs="Times New Roman"/>
          <w:sz w:val="24"/>
        </w:rPr>
        <w:t>）</w:t>
      </w:r>
      <w:r>
        <w:rPr>
          <w:rFonts w:hint="eastAsia"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3）编著：原创性70%以上的编著，</w:t>
      </w:r>
      <w:r>
        <w:rPr>
          <w:rFonts w:hint="eastAsia" w:ascii="Times New Roman" w:hAnsi="Times New Roman" w:cs="Times New Roman"/>
          <w:sz w:val="24"/>
        </w:rPr>
        <w:t>纳入</w:t>
      </w:r>
      <w:r>
        <w:rPr>
          <w:rFonts w:ascii="Times New Roman" w:hAnsi="Times New Roman" w:cs="Times New Roman"/>
          <w:sz w:val="24"/>
        </w:rPr>
        <w:t>绩效</w:t>
      </w:r>
      <w:r>
        <w:rPr>
          <w:rFonts w:hint="eastAsia" w:ascii="Times New Roman" w:hAnsi="Times New Roman" w:cs="Times New Roman"/>
          <w:sz w:val="24"/>
        </w:rPr>
        <w:t>核算</w:t>
      </w:r>
      <w:r>
        <w:rPr>
          <w:rFonts w:ascii="Times New Roman" w:hAnsi="Times New Roman" w:cs="Times New Roman"/>
          <w:sz w:val="24"/>
        </w:rPr>
        <w:t>并奖励。</w:t>
      </w:r>
      <w:r>
        <w:rPr>
          <w:rFonts w:hint="eastAsia" w:ascii="Times New Roman" w:hAnsi="Times New Roman" w:cs="Times New Roman"/>
          <w:sz w:val="24"/>
        </w:rPr>
        <w:t>原创性低于70%的著作只算绩效，主编或编著者不奖励；</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4）若主编参与的</w:t>
      </w:r>
      <w:r>
        <w:rPr>
          <w:rFonts w:hint="eastAsia" w:ascii="Times New Roman" w:hAnsi="Times New Roman" w:cs="Times New Roman"/>
          <w:sz w:val="24"/>
        </w:rPr>
        <w:t>教材编写</w:t>
      </w:r>
      <w:r>
        <w:rPr>
          <w:rFonts w:ascii="Times New Roman" w:hAnsi="Times New Roman" w:cs="Times New Roman"/>
          <w:sz w:val="24"/>
        </w:rPr>
        <w:t>工作较少，则第一编者算绩效并奖励</w:t>
      </w:r>
      <w:r>
        <w:rPr>
          <w:rFonts w:hint="eastAsia"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w:t>
      </w:r>
      <w:r>
        <w:rPr>
          <w:rFonts w:hint="eastAsia" w:ascii="Times New Roman" w:hAnsi="Times New Roman" w:cs="Times New Roman"/>
          <w:sz w:val="24"/>
        </w:rPr>
        <w:t>多卷本情况</w:t>
      </w:r>
      <w:r>
        <w:rPr>
          <w:rFonts w:ascii="Times New Roman" w:hAnsi="Times New Roman" w:cs="Times New Roman"/>
          <w:sz w:val="24"/>
        </w:rPr>
        <w:t>：</w:t>
      </w:r>
      <w:r>
        <w:rPr>
          <w:rFonts w:hint="eastAsia" w:ascii="Times New Roman" w:hAnsi="Times New Roman" w:cs="Times New Roman"/>
          <w:sz w:val="24"/>
        </w:rPr>
        <w:t>多卷本专著、编著、教材等应作为整体申报</w:t>
      </w:r>
      <w:r>
        <w:rPr>
          <w:rFonts w:ascii="Times New Roman" w:hAnsi="Times New Roman" w:cs="Times New Roman"/>
          <w:sz w:val="24"/>
        </w:rPr>
        <w:t>，按年度</w:t>
      </w:r>
      <w:r>
        <w:rPr>
          <w:rFonts w:hint="eastAsia" w:ascii="Times New Roman" w:hAnsi="Times New Roman" w:cs="Times New Roman"/>
          <w:sz w:val="24"/>
        </w:rPr>
        <w:t>核算一项绩效；</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6）10万字以下的著作不予以科研奖励，但可以按照相应绩效标准折半核算绩效。</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7）“再版”及“修订版”修订幅度低于30%的著作不计入绩效，不奖励。</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w:t>
      </w:r>
      <w:r>
        <w:rPr>
          <w:rFonts w:hint="eastAsia" w:ascii="Times New Roman" w:hAnsi="Times New Roman" w:cs="Times New Roman"/>
          <w:sz w:val="24"/>
        </w:rPr>
        <w:t xml:space="preserve">. </w:t>
      </w:r>
      <w:r>
        <w:rPr>
          <w:rFonts w:ascii="Times New Roman" w:hAnsi="Times New Roman" w:cs="Times New Roman"/>
          <w:sz w:val="24"/>
        </w:rPr>
        <w:t>认定论文的级别</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1）C类（普通论文）：1篇论文0.5分（</w:t>
      </w:r>
      <w:r>
        <w:rPr>
          <w:rFonts w:hint="eastAsia" w:ascii="Times New Roman" w:hAnsi="Times New Roman" w:cs="Times New Roman"/>
          <w:sz w:val="24"/>
        </w:rPr>
        <w:t>此次会议新认定类别</w:t>
      </w:r>
      <w:r>
        <w:rPr>
          <w:rFonts w:ascii="Times New Roman" w:hAnsi="Times New Roman" w:cs="Times New Roman"/>
          <w:sz w:val="24"/>
        </w:rPr>
        <w:t>）</w:t>
      </w:r>
      <w:r>
        <w:rPr>
          <w:rFonts w:hint="eastAsia"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2）译文根据期刊等级折半计分（</w:t>
      </w:r>
      <w:r>
        <w:rPr>
          <w:rFonts w:hint="eastAsia" w:ascii="Times New Roman" w:hAnsi="Times New Roman" w:cs="Times New Roman"/>
          <w:sz w:val="24"/>
        </w:rPr>
        <w:t>此次会议新认定类别</w:t>
      </w:r>
      <w:r>
        <w:rPr>
          <w:rFonts w:ascii="Times New Roman" w:hAnsi="Times New Roman" w:cs="Times New Roman"/>
          <w:sz w:val="24"/>
        </w:rPr>
        <w:t>）</w:t>
      </w:r>
      <w:r>
        <w:rPr>
          <w:rFonts w:hint="eastAsia"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3）报纸文章类：</w:t>
      </w:r>
      <w:r>
        <w:rPr>
          <w:rFonts w:hint="eastAsia" w:ascii="Times New Roman" w:hAnsi="Times New Roman" w:cs="Times New Roman"/>
          <w:sz w:val="24"/>
        </w:rPr>
        <w:t>除《北京语言大学咨询服务类成果认定暂行办法》中提及的《人民日报》、《光明日报》等理论版上的学术文章外，</w:t>
      </w:r>
      <w:r>
        <w:rPr>
          <w:rFonts w:ascii="Times New Roman" w:hAnsi="Times New Roman" w:cs="Times New Roman"/>
          <w:sz w:val="24"/>
        </w:rPr>
        <w:t>只统计报纸上3000字以上</w:t>
      </w:r>
      <w:r>
        <w:rPr>
          <w:rFonts w:hint="eastAsia" w:ascii="Times New Roman" w:hAnsi="Times New Roman" w:cs="Times New Roman"/>
          <w:sz w:val="24"/>
        </w:rPr>
        <w:t>的</w:t>
      </w:r>
      <w:r>
        <w:rPr>
          <w:rFonts w:ascii="Times New Roman" w:hAnsi="Times New Roman" w:cs="Times New Roman"/>
          <w:sz w:val="24"/>
        </w:rPr>
        <w:t>学术文章，其他类型文章不统计。</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4. 认定成果的归属</w:t>
      </w:r>
    </w:p>
    <w:p>
      <w:pPr>
        <w:spacing w:line="360" w:lineRule="auto"/>
        <w:ind w:firstLine="480"/>
        <w:rPr>
          <w:rFonts w:ascii="Times New Roman" w:hAnsi="Times New Roman" w:cs="Times New Roman"/>
          <w:sz w:val="24"/>
        </w:rPr>
      </w:pPr>
      <w:r>
        <w:rPr>
          <w:rFonts w:hint="eastAsia" w:ascii="Times New Roman" w:hAnsi="Times New Roman" w:cs="Times New Roman"/>
          <w:sz w:val="24"/>
        </w:rPr>
        <w:t>科研人员的成果归属为其现在所供职的二级教学科研单位</w:t>
      </w:r>
      <w:r>
        <w:rPr>
          <w:rFonts w:ascii="Times New Roman" w:hAnsi="Times New Roman" w:cs="Times New Roman"/>
          <w:sz w:val="24"/>
        </w:rPr>
        <w:t>。</w:t>
      </w:r>
    </w:p>
    <w:p>
      <w:pPr>
        <w:spacing w:line="360" w:lineRule="auto"/>
        <w:rPr>
          <w:rFonts w:ascii="Times New Roman" w:hAnsi="Times New Roman" w:cs="Times New Roman"/>
          <w:sz w:val="24"/>
        </w:rPr>
      </w:pPr>
      <w:r>
        <w:rPr>
          <w:rFonts w:hint="eastAsia" w:ascii="Times New Roman" w:hAnsi="Times New Roman" w:cs="Times New Roman"/>
          <w:sz w:val="24"/>
        </w:rPr>
        <w:t>三、关于议题“学术会议绩效核算事宜”的决议</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1. 国际学术会议3分绩效，50人（含）以上国内学术会议2分绩效，30人（含）-50人（不含）国内学术会议1分绩效；</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2. 国内会议需有两个以上校外单位参加，年底社科统计时需提交会议通知、会议议程（含主旨发言和小组讨论等环节），并附参会人员名单；</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3. 校批学术会议可免于审核鉴定，直接纳入绩效核算。</w:t>
      </w:r>
    </w:p>
    <w:p>
      <w:pPr>
        <w:spacing w:line="360" w:lineRule="auto"/>
        <w:jc w:val="right"/>
        <w:rPr>
          <w:rFonts w:ascii="Times New Roman" w:hAnsi="Times New Roman" w:cs="Times New Roman"/>
          <w:sz w:val="24"/>
        </w:rPr>
      </w:pPr>
    </w:p>
    <w:p>
      <w:pPr>
        <w:spacing w:line="360" w:lineRule="auto"/>
        <w:jc w:val="right"/>
        <w:rPr>
          <w:rFonts w:ascii="Times New Roman" w:hAnsi="Times New Roman" w:cs="Times New Roman"/>
          <w:sz w:val="24"/>
        </w:rPr>
      </w:pPr>
      <w:bookmarkStart w:id="0" w:name="_GoBack"/>
      <w:bookmarkEnd w:id="0"/>
    </w:p>
    <w:p>
      <w:pPr>
        <w:ind w:right="960" w:firstLine="4320" w:firstLineChars="1800"/>
        <w:rPr>
          <w:rFonts w:ascii="Times New Roman" w:hAnsi="Times New Roman" w:cs="Times New Roman"/>
          <w:sz w:val="24"/>
        </w:rPr>
      </w:pPr>
      <w:r>
        <w:rPr>
          <w:rFonts w:hint="eastAsia" w:ascii="Times New Roman" w:hAnsi="Times New Roman" w:cs="Times New Roman"/>
          <w:sz w:val="24"/>
        </w:rPr>
        <w:t>科研专门委员会主任：宁一中</w:t>
      </w:r>
    </w:p>
    <w:p>
      <w:pPr>
        <w:ind w:right="120"/>
        <w:jc w:val="center"/>
        <w:rPr>
          <w:rFonts w:ascii="Times New Roman" w:hAnsi="Times New Roman" w:cs="Times New Roman"/>
          <w:sz w:val="24"/>
        </w:rPr>
      </w:pPr>
      <w:r>
        <w:rPr>
          <w:rFonts w:hint="eastAsia" w:ascii="Times New Roman" w:hAnsi="Times New Roman" w:cs="Times New Roman"/>
          <w:sz w:val="24"/>
        </w:rPr>
        <w:t xml:space="preserve">                                                    </w:t>
      </w:r>
    </w:p>
    <w:p>
      <w:pPr>
        <w:ind w:right="120"/>
        <w:jc w:val="center"/>
        <w:rPr>
          <w:rFonts w:ascii="Times New Roman" w:hAnsi="Times New Roman" w:cs="Times New Roman"/>
          <w:sz w:val="24"/>
        </w:rPr>
      </w:pPr>
      <w:r>
        <w:rPr>
          <w:rFonts w:hint="eastAsia" w:ascii="Times New Roman" w:hAnsi="Times New Roman" w:cs="Times New Roman"/>
          <w:sz w:val="24"/>
        </w:rPr>
        <w:t xml:space="preserve">                     2018年1月5日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2D"/>
    <w:rsid w:val="00021C8A"/>
    <w:rsid w:val="00072FAA"/>
    <w:rsid w:val="00076700"/>
    <w:rsid w:val="000822C6"/>
    <w:rsid w:val="000C166D"/>
    <w:rsid w:val="00104BF9"/>
    <w:rsid w:val="00133A64"/>
    <w:rsid w:val="001839C2"/>
    <w:rsid w:val="002223E8"/>
    <w:rsid w:val="00261647"/>
    <w:rsid w:val="002D2DE0"/>
    <w:rsid w:val="002F0050"/>
    <w:rsid w:val="002F51BC"/>
    <w:rsid w:val="003B0FEC"/>
    <w:rsid w:val="004101B3"/>
    <w:rsid w:val="004452CD"/>
    <w:rsid w:val="00636B07"/>
    <w:rsid w:val="00637328"/>
    <w:rsid w:val="00651787"/>
    <w:rsid w:val="006B568B"/>
    <w:rsid w:val="00734230"/>
    <w:rsid w:val="007920A6"/>
    <w:rsid w:val="007A1349"/>
    <w:rsid w:val="0085331D"/>
    <w:rsid w:val="00883AEF"/>
    <w:rsid w:val="00925F59"/>
    <w:rsid w:val="00972660"/>
    <w:rsid w:val="009B05C1"/>
    <w:rsid w:val="009B28AC"/>
    <w:rsid w:val="009E0F75"/>
    <w:rsid w:val="009F6DE8"/>
    <w:rsid w:val="00A153A0"/>
    <w:rsid w:val="00A3204F"/>
    <w:rsid w:val="00B02A41"/>
    <w:rsid w:val="00BB3DF8"/>
    <w:rsid w:val="00CD4B90"/>
    <w:rsid w:val="00D13C0C"/>
    <w:rsid w:val="00D357C8"/>
    <w:rsid w:val="00DE2A6D"/>
    <w:rsid w:val="00DF2548"/>
    <w:rsid w:val="00E07A15"/>
    <w:rsid w:val="00E32DE3"/>
    <w:rsid w:val="00E92D44"/>
    <w:rsid w:val="00E93D52"/>
    <w:rsid w:val="00EF7EDA"/>
    <w:rsid w:val="00F0430D"/>
    <w:rsid w:val="00F21FC4"/>
    <w:rsid w:val="00F22AC0"/>
    <w:rsid w:val="00F27D60"/>
    <w:rsid w:val="00F63AE5"/>
    <w:rsid w:val="00F70360"/>
    <w:rsid w:val="00F74D2D"/>
    <w:rsid w:val="00F914AB"/>
    <w:rsid w:val="00FD0A8F"/>
    <w:rsid w:val="01CF420B"/>
    <w:rsid w:val="022C1A6C"/>
    <w:rsid w:val="026D7394"/>
    <w:rsid w:val="02FE1380"/>
    <w:rsid w:val="04115E81"/>
    <w:rsid w:val="05073590"/>
    <w:rsid w:val="075B4DA7"/>
    <w:rsid w:val="08247AB9"/>
    <w:rsid w:val="086C205D"/>
    <w:rsid w:val="09703949"/>
    <w:rsid w:val="0B0E4CC0"/>
    <w:rsid w:val="0B7050BA"/>
    <w:rsid w:val="0B9D1372"/>
    <w:rsid w:val="0BD93DC9"/>
    <w:rsid w:val="0BEC083D"/>
    <w:rsid w:val="0CF05F5F"/>
    <w:rsid w:val="0EBD78EC"/>
    <w:rsid w:val="0ED735E6"/>
    <w:rsid w:val="0F863112"/>
    <w:rsid w:val="0F915CDC"/>
    <w:rsid w:val="10950569"/>
    <w:rsid w:val="10E46E13"/>
    <w:rsid w:val="119B68AE"/>
    <w:rsid w:val="12D5607D"/>
    <w:rsid w:val="14AD657F"/>
    <w:rsid w:val="14FD1379"/>
    <w:rsid w:val="16BA7B44"/>
    <w:rsid w:val="16F229DA"/>
    <w:rsid w:val="17520721"/>
    <w:rsid w:val="17C96373"/>
    <w:rsid w:val="17CD6414"/>
    <w:rsid w:val="17D6068C"/>
    <w:rsid w:val="18B27F5E"/>
    <w:rsid w:val="19602FC5"/>
    <w:rsid w:val="1B0268C7"/>
    <w:rsid w:val="1BCD300D"/>
    <w:rsid w:val="1C396F0B"/>
    <w:rsid w:val="1D815D4E"/>
    <w:rsid w:val="1EC15C35"/>
    <w:rsid w:val="1ED347FD"/>
    <w:rsid w:val="1F2F32C5"/>
    <w:rsid w:val="221F3A4E"/>
    <w:rsid w:val="22E41D80"/>
    <w:rsid w:val="23342429"/>
    <w:rsid w:val="23426C17"/>
    <w:rsid w:val="25E004F9"/>
    <w:rsid w:val="2A324BA2"/>
    <w:rsid w:val="2C0E7AD8"/>
    <w:rsid w:val="2D6B482A"/>
    <w:rsid w:val="2DB10BFC"/>
    <w:rsid w:val="2DF3426A"/>
    <w:rsid w:val="2F6F481E"/>
    <w:rsid w:val="30711B06"/>
    <w:rsid w:val="314625F5"/>
    <w:rsid w:val="33362386"/>
    <w:rsid w:val="33807188"/>
    <w:rsid w:val="34963E2F"/>
    <w:rsid w:val="3522053F"/>
    <w:rsid w:val="353314BB"/>
    <w:rsid w:val="35CC0762"/>
    <w:rsid w:val="35D645FD"/>
    <w:rsid w:val="362C6105"/>
    <w:rsid w:val="36F301FB"/>
    <w:rsid w:val="37B72B42"/>
    <w:rsid w:val="38F86542"/>
    <w:rsid w:val="391E0E87"/>
    <w:rsid w:val="39A26930"/>
    <w:rsid w:val="39F22E97"/>
    <w:rsid w:val="39FD67BE"/>
    <w:rsid w:val="3A6E2DF8"/>
    <w:rsid w:val="3B2D4FDD"/>
    <w:rsid w:val="3CFF472F"/>
    <w:rsid w:val="3D631537"/>
    <w:rsid w:val="3DDC6525"/>
    <w:rsid w:val="40A73C31"/>
    <w:rsid w:val="40F33AFE"/>
    <w:rsid w:val="41AF11BC"/>
    <w:rsid w:val="421E26D2"/>
    <w:rsid w:val="431B7D0A"/>
    <w:rsid w:val="439F632B"/>
    <w:rsid w:val="467D6626"/>
    <w:rsid w:val="46DD78F9"/>
    <w:rsid w:val="475156CE"/>
    <w:rsid w:val="4AC65E66"/>
    <w:rsid w:val="4AEA5BAC"/>
    <w:rsid w:val="4AF66ED1"/>
    <w:rsid w:val="4B6B27C2"/>
    <w:rsid w:val="4BA378A1"/>
    <w:rsid w:val="4BC26DA3"/>
    <w:rsid w:val="4D170298"/>
    <w:rsid w:val="4D314FD7"/>
    <w:rsid w:val="4D4B6CDD"/>
    <w:rsid w:val="4D9775E7"/>
    <w:rsid w:val="4F340C0B"/>
    <w:rsid w:val="4F3C75FC"/>
    <w:rsid w:val="52096222"/>
    <w:rsid w:val="527B5F79"/>
    <w:rsid w:val="532740DA"/>
    <w:rsid w:val="56A13A17"/>
    <w:rsid w:val="5716546C"/>
    <w:rsid w:val="57203F2F"/>
    <w:rsid w:val="59691C5E"/>
    <w:rsid w:val="5CE36167"/>
    <w:rsid w:val="5D4942E9"/>
    <w:rsid w:val="5D9F3EF1"/>
    <w:rsid w:val="5E465EE8"/>
    <w:rsid w:val="5E4B45E8"/>
    <w:rsid w:val="605E1F53"/>
    <w:rsid w:val="60801201"/>
    <w:rsid w:val="609D1BE9"/>
    <w:rsid w:val="629149DE"/>
    <w:rsid w:val="635A6851"/>
    <w:rsid w:val="640545CF"/>
    <w:rsid w:val="64D95404"/>
    <w:rsid w:val="65AD34FD"/>
    <w:rsid w:val="65B97FF9"/>
    <w:rsid w:val="65F40C26"/>
    <w:rsid w:val="662C6F11"/>
    <w:rsid w:val="66B26713"/>
    <w:rsid w:val="66C02A3F"/>
    <w:rsid w:val="67495AD8"/>
    <w:rsid w:val="69E6119D"/>
    <w:rsid w:val="6A110BB1"/>
    <w:rsid w:val="6A271B3B"/>
    <w:rsid w:val="6B712C13"/>
    <w:rsid w:val="6CB7583D"/>
    <w:rsid w:val="6D936A12"/>
    <w:rsid w:val="6DD45629"/>
    <w:rsid w:val="6FF5662E"/>
    <w:rsid w:val="72172AE4"/>
    <w:rsid w:val="726761E3"/>
    <w:rsid w:val="727A2697"/>
    <w:rsid w:val="73281B3F"/>
    <w:rsid w:val="73FC2DD4"/>
    <w:rsid w:val="761D0B69"/>
    <w:rsid w:val="768257C0"/>
    <w:rsid w:val="76DD540C"/>
    <w:rsid w:val="78571C18"/>
    <w:rsid w:val="785935D2"/>
    <w:rsid w:val="7AAF43F9"/>
    <w:rsid w:val="7AE1232E"/>
    <w:rsid w:val="7AEE7C66"/>
    <w:rsid w:val="7AF77D3A"/>
    <w:rsid w:val="7BFA2E65"/>
    <w:rsid w:val="7CE140F0"/>
    <w:rsid w:val="7D07062C"/>
    <w:rsid w:val="7E201B41"/>
    <w:rsid w:val="7EE64BFF"/>
    <w:rsid w:val="7EED5A65"/>
    <w:rsid w:val="7F161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annotation reference"/>
    <w:basedOn w:val="6"/>
    <w:uiPriority w:val="0"/>
    <w:rPr>
      <w:sz w:val="21"/>
      <w:szCs w:val="21"/>
    </w:rPr>
  </w:style>
  <w:style w:type="character" w:customStyle="1" w:styleId="9">
    <w:name w:val="font21"/>
    <w:basedOn w:val="6"/>
    <w:qFormat/>
    <w:uiPriority w:val="0"/>
    <w:rPr>
      <w:rFonts w:hint="eastAsia" w:ascii="宋体" w:hAnsi="宋体" w:eastAsia="宋体" w:cs="宋体"/>
      <w:color w:val="000000"/>
      <w:sz w:val="20"/>
      <w:szCs w:val="20"/>
      <w:u w:val="none"/>
    </w:rPr>
  </w:style>
  <w:style w:type="character" w:customStyle="1" w:styleId="10">
    <w:name w:val="font31"/>
    <w:basedOn w:val="6"/>
    <w:qFormat/>
    <w:uiPriority w:val="0"/>
    <w:rPr>
      <w:rFonts w:hint="default" w:ascii="Arial" w:hAnsi="Arial" w:cs="Arial"/>
      <w:color w:val="000000"/>
      <w:sz w:val="20"/>
      <w:szCs w:val="20"/>
      <w:u w:val="none"/>
    </w:rPr>
  </w:style>
  <w:style w:type="character" w:customStyle="1" w:styleId="11">
    <w:name w:val="批注框文本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375</Words>
  <Characters>2141</Characters>
  <Lines>17</Lines>
  <Paragraphs>5</Paragraphs>
  <TotalTime>0</TotalTime>
  <ScaleCrop>false</ScaleCrop>
  <LinksUpToDate>false</LinksUpToDate>
  <CharactersWithSpaces>2511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jinff</dc:creator>
  <cp:lastModifiedBy>金飞飞</cp:lastModifiedBy>
  <dcterms:modified xsi:type="dcterms:W3CDTF">2018-01-11T08:23:28Z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